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81DF8" w14:textId="77777777" w:rsidR="001353CB" w:rsidRDefault="001E1444">
      <w:pPr>
        <w:spacing w:after="20"/>
      </w:pPr>
      <w:r>
        <w:rPr>
          <w:rFonts w:ascii="Calibri" w:eastAsia="Calibri" w:hAnsi="Calibri" w:cs="Calibri"/>
          <w:b/>
          <w:bCs/>
          <w:color w:val="1E7D8C"/>
          <w:sz w:val="15"/>
          <w:szCs w:val="15"/>
        </w:rPr>
        <w:t>[YOUR PRACTICE NAME]</w:t>
      </w:r>
    </w:p>
    <w:p w14:paraId="1A7F8136" w14:textId="77777777" w:rsidR="001353CB" w:rsidRDefault="001E1444">
      <w:pPr>
        <w:pBdr>
          <w:bottom w:val="single" w:sz="10" w:space="4" w:color="1B3A4B"/>
        </w:pBdr>
        <w:spacing w:after="100"/>
      </w:pPr>
      <w:r>
        <w:rPr>
          <w:rFonts w:ascii="Calibri" w:eastAsia="Calibri" w:hAnsi="Calibri" w:cs="Calibri"/>
          <w:b/>
          <w:bCs/>
          <w:color w:val="1B3A4B"/>
          <w:sz w:val="34"/>
          <w:szCs w:val="34"/>
        </w:rPr>
        <w:t>Tonsillectomy &amp; Adenoidectomy</w:t>
      </w:r>
    </w:p>
    <w:p w14:paraId="0B924832" w14:textId="77777777" w:rsidR="001353CB" w:rsidRDefault="001E1444">
      <w:pPr>
        <w:spacing w:after="100"/>
      </w:pPr>
      <w:r>
        <w:rPr>
          <w:rFonts w:ascii="Calibri" w:eastAsia="Calibri" w:hAnsi="Calibri" w:cs="Calibri"/>
          <w:color w:val="5A6B72"/>
        </w:rPr>
        <w:t>Information for Patients and Parents</w:t>
      </w: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5333"/>
        <w:gridCol w:w="5333"/>
      </w:tblGrid>
      <w:tr w:rsidR="001353CB" w14:paraId="5FC174B7" w14:textId="77777777">
        <w:tc>
          <w:tcPr>
            <w:tcW w:w="2500" w:type="pct"/>
            <w:tcBorders>
              <w:top w:val="none" w:sz="0" w:space="0" w:color="FFFFFF"/>
              <w:left w:val="none" w:sz="0" w:space="0" w:color="FFFFFF"/>
              <w:bottom w:val="none" w:sz="0" w:space="0" w:color="FFFFFF"/>
              <w:right w:val="none" w:sz="0" w:space="0" w:color="FFFFFF"/>
            </w:tcBorders>
            <w:tcMar>
              <w:right w:w="200" w:type="dxa"/>
            </w:tcMar>
          </w:tcPr>
          <w:p w14:paraId="427A091F" w14:textId="77777777" w:rsidR="001353CB" w:rsidRDefault="001E1444">
            <w:pPr>
              <w:spacing w:after="80"/>
            </w:pPr>
            <w:r>
              <w:rPr>
                <w:rFonts w:ascii="Calibri" w:eastAsia="Calibri" w:hAnsi="Calibri" w:cs="Calibri"/>
                <w:i/>
                <w:iCs/>
                <w:color w:val="5A6B72"/>
                <w:sz w:val="17"/>
                <w:szCs w:val="17"/>
              </w:rPr>
              <w:t>This sheet summarises what to expect before, during, and after your child's surgery. It's here to help you feel informed and prepared — please ask us anything that isn't covered.</w:t>
            </w:r>
          </w:p>
          <w:p w14:paraId="16F566BA" w14:textId="77777777" w:rsidR="001353CB" w:rsidRDefault="001E1444">
            <w:pPr>
              <w:pBdr>
                <w:bottom w:val="single" w:sz="6" w:space="2" w:color="1E7D8C"/>
              </w:pBdr>
              <w:spacing w:before="140" w:after="40"/>
            </w:pPr>
            <w:r>
              <w:rPr>
                <w:rFonts w:ascii="Calibri" w:eastAsia="Calibri" w:hAnsi="Calibri" w:cs="Calibri"/>
                <w:b/>
                <w:bCs/>
                <w:color w:val="1E7D8C"/>
                <w:sz w:val="18"/>
                <w:szCs w:val="18"/>
              </w:rPr>
              <w:t>BEFORE THE DAY — FASTING</w:t>
            </w:r>
          </w:p>
          <w:p w14:paraId="7B3D2298" w14:textId="77777777" w:rsidR="001353CB" w:rsidRDefault="001E1444">
            <w:pPr>
              <w:spacing w:after="40" w:line="250" w:lineRule="auto"/>
              <w:ind w:left="160" w:hanging="160"/>
            </w:pPr>
            <w:r>
              <w:rPr>
                <w:rFonts w:ascii="Calibri" w:eastAsia="Calibri" w:hAnsi="Calibri" w:cs="Calibri"/>
                <w:b/>
                <w:bCs/>
                <w:color w:val="1E7D8C"/>
                <w:sz w:val="17"/>
                <w:szCs w:val="17"/>
              </w:rPr>
              <w:t xml:space="preserve">•  </w:t>
            </w:r>
            <w:r>
              <w:rPr>
                <w:rFonts w:ascii="Calibri" w:eastAsia="Calibri" w:hAnsi="Calibri" w:cs="Calibri"/>
                <w:color w:val="2B2B2B"/>
                <w:sz w:val="17"/>
                <w:szCs w:val="17"/>
              </w:rPr>
              <w:t>Clear fluids (water, ice blocks) are allowed right up until your child is called for theatre — our "sip til send" approach, which is kinder than a long overnight fast.</w:t>
            </w:r>
          </w:p>
          <w:p w14:paraId="42DFAB98" w14:textId="77777777" w:rsidR="001353CB" w:rsidRDefault="001E1444">
            <w:pPr>
              <w:spacing w:after="40" w:line="250" w:lineRule="auto"/>
              <w:ind w:left="160" w:hanging="160"/>
            </w:pPr>
            <w:r>
              <w:rPr>
                <w:rFonts w:ascii="Calibri" w:eastAsia="Calibri" w:hAnsi="Calibri" w:cs="Calibri"/>
                <w:b/>
                <w:bCs/>
                <w:color w:val="1E7D8C"/>
                <w:sz w:val="17"/>
                <w:szCs w:val="17"/>
              </w:rPr>
              <w:t xml:space="preserve">•  </w:t>
            </w:r>
            <w:r>
              <w:rPr>
                <w:rFonts w:ascii="Calibri" w:eastAsia="Calibri" w:hAnsi="Calibri" w:cs="Calibri"/>
                <w:color w:val="2B2B2B"/>
                <w:sz w:val="17"/>
                <w:szCs w:val="17"/>
              </w:rPr>
              <w:t>No solid food, milk, or chewing gum for 6 hours before the admission time you are given.</w:t>
            </w:r>
          </w:p>
          <w:p w14:paraId="672B35EE" w14:textId="77777777" w:rsidR="001353CB" w:rsidRDefault="001E1444">
            <w:pPr>
              <w:spacing w:after="40" w:line="250" w:lineRule="auto"/>
              <w:ind w:left="160" w:hanging="160"/>
            </w:pPr>
            <w:r>
              <w:rPr>
                <w:rFonts w:ascii="Calibri" w:eastAsia="Calibri" w:hAnsi="Calibri" w:cs="Calibri"/>
                <w:b/>
                <w:bCs/>
                <w:color w:val="1E7D8C"/>
                <w:sz w:val="17"/>
                <w:szCs w:val="17"/>
              </w:rPr>
              <w:t xml:space="preserve">•  </w:t>
            </w:r>
            <w:r>
              <w:rPr>
                <w:rFonts w:ascii="Calibri" w:eastAsia="Calibri" w:hAnsi="Calibri" w:cs="Calibri"/>
                <w:color w:val="2B2B2B"/>
                <w:sz w:val="17"/>
                <w:szCs w:val="17"/>
              </w:rPr>
              <w:t>Regular medications can usually still be taken with a small sip of water — please check with us if unsure.</w:t>
            </w:r>
          </w:p>
          <w:p w14:paraId="776F4FFC" w14:textId="77777777" w:rsidR="001353CB" w:rsidRDefault="001E1444">
            <w:pPr>
              <w:pBdr>
                <w:bottom w:val="single" w:sz="6" w:space="2" w:color="1E7D8C"/>
              </w:pBdr>
              <w:spacing w:before="140" w:after="40"/>
            </w:pPr>
            <w:r>
              <w:rPr>
                <w:rFonts w:ascii="Calibri" w:eastAsia="Calibri" w:hAnsi="Calibri" w:cs="Calibri"/>
                <w:b/>
                <w:bCs/>
                <w:color w:val="1E7D8C"/>
                <w:sz w:val="18"/>
                <w:szCs w:val="18"/>
              </w:rPr>
              <w:t>ON THE DAY</w:t>
            </w:r>
          </w:p>
          <w:p w14:paraId="52D95DD1" w14:textId="77777777" w:rsidR="001353CB" w:rsidRDefault="001E1444">
            <w:pPr>
              <w:spacing w:after="40" w:line="250" w:lineRule="auto"/>
              <w:ind w:left="160" w:hanging="160"/>
            </w:pPr>
            <w:r>
              <w:rPr>
                <w:rFonts w:ascii="Calibri" w:eastAsia="Calibri" w:hAnsi="Calibri" w:cs="Calibri"/>
                <w:b/>
                <w:bCs/>
                <w:color w:val="1E7D8C"/>
                <w:sz w:val="17"/>
                <w:szCs w:val="17"/>
              </w:rPr>
              <w:t xml:space="preserve">•  </w:t>
            </w:r>
            <w:r>
              <w:rPr>
                <w:rFonts w:ascii="Calibri" w:eastAsia="Calibri" w:hAnsi="Calibri" w:cs="Calibri"/>
                <w:color w:val="2B2B2B"/>
                <w:sz w:val="17"/>
                <w:szCs w:val="17"/>
              </w:rPr>
              <w:t>You will be admitted to the ward early, so the nurses can complete their pre-op checks with you.</w:t>
            </w:r>
          </w:p>
          <w:p w14:paraId="2DC87BAC" w14:textId="77777777" w:rsidR="001353CB" w:rsidRDefault="001E1444">
            <w:pPr>
              <w:spacing w:after="40" w:line="250" w:lineRule="auto"/>
              <w:ind w:left="160" w:hanging="160"/>
            </w:pPr>
            <w:r>
              <w:rPr>
                <w:rFonts w:ascii="Calibri" w:eastAsia="Calibri" w:hAnsi="Calibri" w:cs="Calibri"/>
                <w:b/>
                <w:bCs/>
                <w:color w:val="1E7D8C"/>
                <w:sz w:val="17"/>
                <w:szCs w:val="17"/>
              </w:rPr>
              <w:t xml:space="preserve">•  </w:t>
            </w:r>
            <w:r>
              <w:rPr>
                <w:rFonts w:ascii="Calibri" w:eastAsia="Calibri" w:hAnsi="Calibri" w:cs="Calibri"/>
                <w:color w:val="2B2B2B"/>
                <w:sz w:val="17"/>
                <w:szCs w:val="17"/>
              </w:rPr>
              <w:t>You are welcome to bring favourite toys, books, or devices to help your child feel settled.</w:t>
            </w:r>
          </w:p>
          <w:p w14:paraId="479EFD5F" w14:textId="77777777" w:rsidR="001353CB" w:rsidRDefault="001E1444">
            <w:pPr>
              <w:spacing w:after="40" w:line="250" w:lineRule="auto"/>
              <w:ind w:left="160" w:hanging="160"/>
            </w:pPr>
            <w:r>
              <w:rPr>
                <w:rFonts w:ascii="Calibri" w:eastAsia="Calibri" w:hAnsi="Calibri" w:cs="Calibri"/>
                <w:b/>
                <w:bCs/>
                <w:color w:val="1E7D8C"/>
                <w:sz w:val="17"/>
                <w:szCs w:val="17"/>
              </w:rPr>
              <w:t xml:space="preserve">•  </w:t>
            </w:r>
            <w:r>
              <w:rPr>
                <w:rFonts w:ascii="Calibri" w:eastAsia="Calibri" w:hAnsi="Calibri" w:cs="Calibri"/>
                <w:color w:val="2B2B2B"/>
                <w:sz w:val="17"/>
                <w:szCs w:val="17"/>
              </w:rPr>
              <w:t>The anaesthetist will meet you before surgery to explain the anaesthetic and answer any questions.</w:t>
            </w:r>
          </w:p>
          <w:p w14:paraId="5BE4FA83" w14:textId="77777777" w:rsidR="001353CB" w:rsidRDefault="001E1444">
            <w:pPr>
              <w:spacing w:after="40" w:line="250" w:lineRule="auto"/>
              <w:ind w:left="160" w:hanging="160"/>
            </w:pPr>
            <w:r>
              <w:rPr>
                <w:rFonts w:ascii="Calibri" w:eastAsia="Calibri" w:hAnsi="Calibri" w:cs="Calibri"/>
                <w:b/>
                <w:bCs/>
                <w:color w:val="1E7D8C"/>
                <w:sz w:val="17"/>
                <w:szCs w:val="17"/>
              </w:rPr>
              <w:t xml:space="preserve">•  </w:t>
            </w:r>
            <w:r>
              <w:rPr>
                <w:rFonts w:ascii="Calibri" w:eastAsia="Calibri" w:hAnsi="Calibri" w:cs="Calibri"/>
                <w:color w:val="2B2B2B"/>
                <w:sz w:val="17"/>
                <w:szCs w:val="17"/>
              </w:rPr>
              <w:t>You will be present with your child right up until they go to sleep, and again as soon as they wake in the recovery room.</w:t>
            </w:r>
          </w:p>
          <w:p w14:paraId="01EC5152" w14:textId="77777777" w:rsidR="001353CB" w:rsidRDefault="001E1444">
            <w:pPr>
              <w:spacing w:after="40" w:line="250" w:lineRule="auto"/>
              <w:ind w:left="160" w:hanging="160"/>
            </w:pPr>
            <w:r>
              <w:rPr>
                <w:rFonts w:ascii="Calibri" w:eastAsia="Calibri" w:hAnsi="Calibri" w:cs="Calibri"/>
                <w:b/>
                <w:bCs/>
                <w:color w:val="1E7D8C"/>
                <w:sz w:val="17"/>
                <w:szCs w:val="17"/>
              </w:rPr>
              <w:t xml:space="preserve">•  </w:t>
            </w:r>
            <w:r>
              <w:rPr>
                <w:rFonts w:ascii="Calibri" w:eastAsia="Calibri" w:hAnsi="Calibri" w:cs="Calibri"/>
                <w:color w:val="2B2B2B"/>
                <w:sz w:val="17"/>
                <w:szCs w:val="17"/>
              </w:rPr>
              <w:t>The operation is done under a general anaesthetic and usually takes well under an hour.</w:t>
            </w:r>
          </w:p>
          <w:p w14:paraId="272E1B5B" w14:textId="77777777" w:rsidR="001353CB" w:rsidRDefault="001E1444">
            <w:pPr>
              <w:spacing w:after="40" w:line="250" w:lineRule="auto"/>
              <w:ind w:left="160" w:hanging="160"/>
            </w:pPr>
            <w:r>
              <w:rPr>
                <w:rFonts w:ascii="Calibri" w:eastAsia="Calibri" w:hAnsi="Calibri" w:cs="Calibri"/>
                <w:b/>
                <w:bCs/>
                <w:color w:val="1E7D8C"/>
                <w:sz w:val="17"/>
                <w:szCs w:val="17"/>
              </w:rPr>
              <w:t xml:space="preserve">•  </w:t>
            </w:r>
            <w:r>
              <w:rPr>
                <w:rFonts w:ascii="Calibri" w:eastAsia="Calibri" w:hAnsi="Calibri" w:cs="Calibri"/>
                <w:color w:val="2B2B2B"/>
                <w:sz w:val="17"/>
                <w:szCs w:val="17"/>
              </w:rPr>
              <w:t>Your child will then move from recovery back to the ward, where you will stay together for the rest of the admission.</w:t>
            </w:r>
          </w:p>
          <w:p w14:paraId="3BFBF1DB" w14:textId="77777777" w:rsidR="001353CB" w:rsidRDefault="001E1444">
            <w:pPr>
              <w:spacing w:after="40" w:line="250" w:lineRule="auto"/>
              <w:ind w:left="160" w:hanging="160"/>
            </w:pPr>
            <w:r>
              <w:rPr>
                <w:rFonts w:ascii="Calibri" w:eastAsia="Calibri" w:hAnsi="Calibri" w:cs="Calibri"/>
                <w:b/>
                <w:bCs/>
                <w:color w:val="1E7D8C"/>
                <w:sz w:val="17"/>
                <w:szCs w:val="17"/>
              </w:rPr>
              <w:t xml:space="preserve">•  </w:t>
            </w:r>
            <w:r>
              <w:rPr>
                <w:rFonts w:ascii="Calibri" w:eastAsia="Calibri" w:hAnsi="Calibri" w:cs="Calibri"/>
                <w:color w:val="2B2B2B"/>
                <w:sz w:val="17"/>
                <w:szCs w:val="17"/>
              </w:rPr>
              <w:t>Most children are able to have a few sips and a little to eat later that same day.</w:t>
            </w:r>
          </w:p>
          <w:p w14:paraId="424EDFD4" w14:textId="77777777" w:rsidR="001353CB" w:rsidRDefault="001E1444">
            <w:pPr>
              <w:pBdr>
                <w:bottom w:val="single" w:sz="6" w:space="2" w:color="1E7D8C"/>
              </w:pBdr>
              <w:spacing w:before="140" w:after="40"/>
            </w:pPr>
            <w:r>
              <w:rPr>
                <w:rFonts w:ascii="Calibri" w:eastAsia="Calibri" w:hAnsi="Calibri" w:cs="Calibri"/>
                <w:b/>
                <w:bCs/>
                <w:color w:val="1E7D8C"/>
                <w:sz w:val="18"/>
                <w:szCs w:val="18"/>
              </w:rPr>
              <w:t>RECOVERY AT HOME</w:t>
            </w:r>
          </w:p>
          <w:p w14:paraId="60BDE39C" w14:textId="77777777" w:rsidR="001353CB" w:rsidRDefault="001E1444">
            <w:pPr>
              <w:spacing w:after="40" w:line="250" w:lineRule="auto"/>
              <w:ind w:left="160" w:hanging="160"/>
            </w:pPr>
            <w:r>
              <w:rPr>
                <w:rFonts w:ascii="Calibri" w:eastAsia="Calibri" w:hAnsi="Calibri" w:cs="Calibri"/>
                <w:b/>
                <w:bCs/>
                <w:color w:val="1E7D8C"/>
                <w:sz w:val="17"/>
                <w:szCs w:val="17"/>
              </w:rPr>
              <w:t xml:space="preserve">•  </w:t>
            </w:r>
            <w:r>
              <w:rPr>
                <w:rFonts w:ascii="Calibri" w:eastAsia="Calibri" w:hAnsi="Calibri" w:cs="Calibri"/>
                <w:color w:val="2B2B2B"/>
                <w:sz w:val="17"/>
                <w:szCs w:val="17"/>
              </w:rPr>
              <w:t>Depending on the clinical situation, an overnight stay may be recommended, occasionally longer if we want to keep watching a little further.</w:t>
            </w:r>
          </w:p>
          <w:p w14:paraId="3329573F" w14:textId="77777777" w:rsidR="001353CB" w:rsidRDefault="001E1444">
            <w:pPr>
              <w:spacing w:after="40" w:line="250" w:lineRule="auto"/>
              <w:ind w:left="160" w:hanging="160"/>
            </w:pPr>
            <w:r>
              <w:rPr>
                <w:rFonts w:ascii="Calibri" w:eastAsia="Calibri" w:hAnsi="Calibri" w:cs="Calibri"/>
                <w:b/>
                <w:bCs/>
                <w:color w:val="1E7D8C"/>
                <w:sz w:val="17"/>
                <w:szCs w:val="17"/>
              </w:rPr>
              <w:t xml:space="preserve">•  </w:t>
            </w:r>
            <w:r>
              <w:rPr>
                <w:rFonts w:ascii="Calibri" w:eastAsia="Calibri" w:hAnsi="Calibri" w:cs="Calibri"/>
                <w:color w:val="2B2B2B"/>
                <w:sz w:val="17"/>
                <w:szCs w:val="17"/>
              </w:rPr>
              <w:t>Regular, scheduled pain relief for the first few days is recommended — we will give you a clear dosing plan to take home.</w:t>
            </w:r>
          </w:p>
          <w:p w14:paraId="57B8E250" w14:textId="77777777" w:rsidR="001353CB" w:rsidRDefault="001E1444">
            <w:pPr>
              <w:spacing w:after="40" w:line="250" w:lineRule="auto"/>
              <w:ind w:left="160" w:hanging="160"/>
            </w:pPr>
            <w:r>
              <w:rPr>
                <w:rFonts w:ascii="Calibri" w:eastAsia="Calibri" w:hAnsi="Calibri" w:cs="Calibri"/>
                <w:b/>
                <w:bCs/>
                <w:color w:val="1E7D8C"/>
                <w:sz w:val="17"/>
                <w:szCs w:val="17"/>
              </w:rPr>
              <w:t xml:space="preserve">•  </w:t>
            </w:r>
            <w:r>
              <w:rPr>
                <w:rFonts w:ascii="Calibri" w:eastAsia="Calibri" w:hAnsi="Calibri" w:cs="Calibri"/>
                <w:color w:val="2B2B2B"/>
                <w:sz w:val="17"/>
                <w:szCs w:val="17"/>
              </w:rPr>
              <w:t>Drinking as much as possible, and eating as much as your child can tolerate, is encouraged from the start — any food is fine, though lots of soft food and plenty of fluids helps most in the first week or so. Ordinary chewing actually helps healing.</w:t>
            </w:r>
          </w:p>
          <w:p w14:paraId="69F2A8F0" w14:textId="77777777" w:rsidR="001353CB" w:rsidRDefault="001E1444">
            <w:pPr>
              <w:spacing w:after="40" w:line="250" w:lineRule="auto"/>
              <w:ind w:left="160" w:hanging="160"/>
            </w:pPr>
            <w:r>
              <w:rPr>
                <w:rFonts w:ascii="Calibri" w:eastAsia="Calibri" w:hAnsi="Calibri" w:cs="Calibri"/>
                <w:b/>
                <w:bCs/>
                <w:color w:val="1E7D8C"/>
                <w:sz w:val="17"/>
                <w:szCs w:val="17"/>
              </w:rPr>
              <w:t xml:space="preserve">•  </w:t>
            </w:r>
            <w:r>
              <w:rPr>
                <w:rFonts w:ascii="Calibri" w:eastAsia="Calibri" w:hAnsi="Calibri" w:cs="Calibri"/>
                <w:color w:val="2B2B2B"/>
                <w:sz w:val="17"/>
                <w:szCs w:val="17"/>
              </w:rPr>
              <w:t>10 days off school is the usual guide, and 2 weeks away from sport or strenuous play, to allow the throat to heal fully.</w:t>
            </w:r>
          </w:p>
          <w:p w14:paraId="6439C7BD" w14:textId="77777777" w:rsidR="001353CB" w:rsidRDefault="001E1444">
            <w:pPr>
              <w:spacing w:after="40" w:line="250" w:lineRule="auto"/>
              <w:ind w:left="160" w:hanging="160"/>
            </w:pPr>
            <w:r>
              <w:rPr>
                <w:rFonts w:ascii="Calibri" w:eastAsia="Calibri" w:hAnsi="Calibri" w:cs="Calibri"/>
                <w:b/>
                <w:bCs/>
                <w:color w:val="1E7D8C"/>
                <w:sz w:val="17"/>
                <w:szCs w:val="17"/>
              </w:rPr>
              <w:t xml:space="preserve">•  </w:t>
            </w:r>
            <w:r>
              <w:rPr>
                <w:rFonts w:ascii="Calibri" w:eastAsia="Calibri" w:hAnsi="Calibri" w:cs="Calibri"/>
                <w:b/>
                <w:bCs/>
                <w:color w:val="1B3A4B"/>
                <w:sz w:val="17"/>
                <w:szCs w:val="17"/>
              </w:rPr>
              <w:t xml:space="preserve">When to call us: </w:t>
            </w:r>
            <w:r>
              <w:rPr>
                <w:rFonts w:ascii="Calibri" w:eastAsia="Calibri" w:hAnsi="Calibri" w:cs="Calibri"/>
                <w:color w:val="2B2B2B"/>
                <w:sz w:val="17"/>
                <w:szCs w:val="17"/>
              </w:rPr>
              <w:t>Please contact us promptly, or go to your nearest emergency department, if you notice: any bleeding from the mouth or nose, your child isn't drinking at all, a high fever, or breathing that seems difficult.</w:t>
            </w:r>
          </w:p>
        </w:tc>
        <w:tc>
          <w:tcPr>
            <w:tcW w:w="2500" w:type="pct"/>
            <w:tcBorders>
              <w:top w:val="none" w:sz="0" w:space="0" w:color="FFFFFF"/>
              <w:left w:val="none" w:sz="0" w:space="0" w:color="FFFFFF"/>
              <w:bottom w:val="none" w:sz="0" w:space="0" w:color="FFFFFF"/>
              <w:right w:val="none" w:sz="0" w:space="0" w:color="FFFFFF"/>
            </w:tcBorders>
            <w:tcMar>
              <w:left w:w="200" w:type="dxa"/>
            </w:tcMar>
          </w:tcPr>
          <w:p w14:paraId="589B709E" w14:textId="77777777" w:rsidR="001353CB" w:rsidRDefault="001E1444">
            <w:pPr>
              <w:pBdr>
                <w:bottom w:val="single" w:sz="6" w:space="2" w:color="1E7D8C"/>
              </w:pBdr>
              <w:spacing w:before="140" w:after="40"/>
            </w:pPr>
            <w:r>
              <w:rPr>
                <w:rFonts w:ascii="Calibri" w:eastAsia="Calibri" w:hAnsi="Calibri" w:cs="Calibri"/>
                <w:b/>
                <w:bCs/>
                <w:color w:val="1E7D8C"/>
                <w:sz w:val="18"/>
                <w:szCs w:val="18"/>
              </w:rPr>
              <w:t>THE RISKS, IN PERSPECTIVE</w:t>
            </w:r>
          </w:p>
          <w:p w14:paraId="3EEA67EC" w14:textId="77777777" w:rsidR="001353CB" w:rsidRDefault="001E1444">
            <w:pPr>
              <w:spacing w:after="60" w:line="250" w:lineRule="auto"/>
            </w:pPr>
            <w:r>
              <w:rPr>
                <w:rFonts w:ascii="Calibri" w:eastAsia="Calibri" w:hAnsi="Calibri" w:cs="Calibri"/>
                <w:color w:val="2B2B2B"/>
                <w:sz w:val="17"/>
                <w:szCs w:val="17"/>
              </w:rPr>
              <w:t>The great majority of children go through this operation and recover without any problems. As with any surgery, it is important you are aware of the possible risks — most are uncommon, and we take specific steps to reduce them.</w:t>
            </w:r>
          </w:p>
          <w:p w14:paraId="3A40B362" w14:textId="77777777" w:rsidR="001353CB" w:rsidRDefault="001E1444">
            <w:pPr>
              <w:spacing w:after="40" w:line="250" w:lineRule="auto"/>
              <w:ind w:left="160" w:hanging="160"/>
            </w:pPr>
            <w:r>
              <w:rPr>
                <w:rFonts w:ascii="Calibri" w:eastAsia="Calibri" w:hAnsi="Calibri" w:cs="Calibri"/>
                <w:b/>
                <w:bCs/>
                <w:color w:val="1E7D8C"/>
                <w:sz w:val="17"/>
                <w:szCs w:val="17"/>
              </w:rPr>
              <w:t xml:space="preserve">•  </w:t>
            </w:r>
            <w:r>
              <w:rPr>
                <w:rFonts w:ascii="Calibri" w:eastAsia="Calibri" w:hAnsi="Calibri" w:cs="Calibri"/>
                <w:b/>
                <w:bCs/>
                <w:color w:val="1B3A4B"/>
                <w:sz w:val="17"/>
                <w:szCs w:val="17"/>
              </w:rPr>
              <w:t xml:space="preserve">Bleeding — </w:t>
            </w:r>
            <w:r>
              <w:rPr>
                <w:rFonts w:ascii="Calibri" w:eastAsia="Calibri" w:hAnsi="Calibri" w:cs="Calibri"/>
                <w:color w:val="2B2B2B"/>
                <w:sz w:val="17"/>
                <w:szCs w:val="17"/>
              </w:rPr>
              <w:t>The main risk we watch closely for. Electrosurgical instruments are commonly used during the operation specifically to minimise bleeding. We will give you clear guidance on what to look for and who to call — it can occur in the first 24 hours, or occasionally up to two weeks later as the throat heals.</w:t>
            </w:r>
          </w:p>
          <w:p w14:paraId="0269AE72" w14:textId="77777777" w:rsidR="001353CB" w:rsidRDefault="001E1444">
            <w:pPr>
              <w:spacing w:after="40" w:line="250" w:lineRule="auto"/>
              <w:ind w:left="160" w:hanging="160"/>
            </w:pPr>
            <w:r>
              <w:rPr>
                <w:rFonts w:ascii="Calibri" w:eastAsia="Calibri" w:hAnsi="Calibri" w:cs="Calibri"/>
                <w:b/>
                <w:bCs/>
                <w:color w:val="1E7D8C"/>
                <w:sz w:val="17"/>
                <w:szCs w:val="17"/>
              </w:rPr>
              <w:t xml:space="preserve">•  </w:t>
            </w:r>
            <w:r>
              <w:rPr>
                <w:rFonts w:ascii="Calibri" w:eastAsia="Calibri" w:hAnsi="Calibri" w:cs="Calibri"/>
                <w:b/>
                <w:bCs/>
                <w:color w:val="1B3A4B"/>
                <w:sz w:val="17"/>
                <w:szCs w:val="17"/>
              </w:rPr>
              <w:t xml:space="preserve">Pain — </w:t>
            </w:r>
            <w:r>
              <w:rPr>
                <w:rFonts w:ascii="Calibri" w:eastAsia="Calibri" w:hAnsi="Calibri" w:cs="Calibri"/>
                <w:color w:val="2B2B2B"/>
                <w:sz w:val="17"/>
                <w:szCs w:val="17"/>
              </w:rPr>
              <w:t>While everyone is different, sore throat usually varies over the 10-day recovery period — mostly the first 3 days, then again around days 7 to 10. Referred ear pain can occur too. Fluids, chewing, and pain relief manage this well for most patients.</w:t>
            </w:r>
          </w:p>
          <w:p w14:paraId="30653243" w14:textId="77777777" w:rsidR="001353CB" w:rsidRDefault="001E1444">
            <w:pPr>
              <w:spacing w:after="40" w:line="250" w:lineRule="auto"/>
              <w:ind w:left="160" w:hanging="160"/>
            </w:pPr>
            <w:r>
              <w:rPr>
                <w:rFonts w:ascii="Calibri" w:eastAsia="Calibri" w:hAnsi="Calibri" w:cs="Calibri"/>
                <w:b/>
                <w:bCs/>
                <w:color w:val="1E7D8C"/>
                <w:sz w:val="17"/>
                <w:szCs w:val="17"/>
              </w:rPr>
              <w:t xml:space="preserve">•  </w:t>
            </w:r>
            <w:r>
              <w:rPr>
                <w:rFonts w:ascii="Calibri" w:eastAsia="Calibri" w:hAnsi="Calibri" w:cs="Calibri"/>
                <w:b/>
                <w:bCs/>
                <w:color w:val="1B3A4B"/>
                <w:sz w:val="17"/>
                <w:szCs w:val="17"/>
              </w:rPr>
              <w:t xml:space="preserve">Infection — </w:t>
            </w:r>
            <w:r>
              <w:rPr>
                <w:rFonts w:ascii="Calibri" w:eastAsia="Calibri" w:hAnsi="Calibri" w:cs="Calibri"/>
                <w:color w:val="2B2B2B"/>
                <w:sz w:val="17"/>
                <w:szCs w:val="17"/>
              </w:rPr>
              <w:t>Uncommon, and straightforward to treat with antibiotics if it occurs.</w:t>
            </w:r>
          </w:p>
          <w:p w14:paraId="76B557BD" w14:textId="77777777" w:rsidR="001353CB" w:rsidRDefault="001E1444">
            <w:pPr>
              <w:spacing w:after="40" w:line="250" w:lineRule="auto"/>
              <w:ind w:left="160" w:hanging="160"/>
            </w:pPr>
            <w:r>
              <w:rPr>
                <w:rFonts w:ascii="Calibri" w:eastAsia="Calibri" w:hAnsi="Calibri" w:cs="Calibri"/>
                <w:b/>
                <w:bCs/>
                <w:color w:val="1E7D8C"/>
                <w:sz w:val="17"/>
                <w:szCs w:val="17"/>
              </w:rPr>
              <w:t xml:space="preserve">•  </w:t>
            </w:r>
            <w:r>
              <w:rPr>
                <w:rFonts w:ascii="Calibri" w:eastAsia="Calibri" w:hAnsi="Calibri" w:cs="Calibri"/>
                <w:b/>
                <w:bCs/>
                <w:color w:val="1B3A4B"/>
                <w:sz w:val="17"/>
                <w:szCs w:val="17"/>
              </w:rPr>
              <w:t xml:space="preserve">Anaesthetic risk — </w:t>
            </w:r>
            <w:r>
              <w:rPr>
                <w:rFonts w:ascii="Calibri" w:eastAsia="Calibri" w:hAnsi="Calibri" w:cs="Calibri"/>
                <w:color w:val="2B2B2B"/>
                <w:sz w:val="17"/>
                <w:szCs w:val="17"/>
              </w:rPr>
              <w:t>Modern anaesthesia is very safe. Your anaesthetist will discuss this with you directly before surgery.</w:t>
            </w:r>
          </w:p>
          <w:p w14:paraId="300E5886" w14:textId="77777777" w:rsidR="001353CB" w:rsidRDefault="001E1444">
            <w:pPr>
              <w:spacing w:after="40" w:line="250" w:lineRule="auto"/>
              <w:ind w:left="160" w:hanging="160"/>
            </w:pPr>
            <w:r>
              <w:rPr>
                <w:rFonts w:ascii="Calibri" w:eastAsia="Calibri" w:hAnsi="Calibri" w:cs="Calibri"/>
                <w:b/>
                <w:bCs/>
                <w:color w:val="1E7D8C"/>
                <w:sz w:val="17"/>
                <w:szCs w:val="17"/>
              </w:rPr>
              <w:t xml:space="preserve">•  </w:t>
            </w:r>
            <w:r>
              <w:rPr>
                <w:rFonts w:ascii="Calibri" w:eastAsia="Calibri" w:hAnsi="Calibri" w:cs="Calibri"/>
                <w:b/>
                <w:bCs/>
                <w:color w:val="1B3A4B"/>
                <w:sz w:val="17"/>
                <w:szCs w:val="17"/>
              </w:rPr>
              <w:t xml:space="preserve">Dental or lip injury — </w:t>
            </w:r>
            <w:r>
              <w:rPr>
                <w:rFonts w:ascii="Calibri" w:eastAsia="Calibri" w:hAnsi="Calibri" w:cs="Calibri"/>
                <w:color w:val="2B2B2B"/>
                <w:sz w:val="17"/>
                <w:szCs w:val="17"/>
              </w:rPr>
              <w:t>The lips and mouth are exposed during tonsil and adenoid surgery and are at risk of injury. We take particular care to protect the teeth and lips throughout the procedure.</w:t>
            </w:r>
          </w:p>
          <w:p w14:paraId="10C58511" w14:textId="77777777" w:rsidR="001353CB" w:rsidRDefault="001E1444">
            <w:pPr>
              <w:spacing w:after="40" w:line="250" w:lineRule="auto"/>
              <w:ind w:left="160" w:hanging="160"/>
            </w:pPr>
            <w:r>
              <w:rPr>
                <w:rFonts w:ascii="Calibri" w:eastAsia="Calibri" w:hAnsi="Calibri" w:cs="Calibri"/>
                <w:b/>
                <w:bCs/>
                <w:color w:val="1E7D8C"/>
                <w:sz w:val="17"/>
                <w:szCs w:val="17"/>
              </w:rPr>
              <w:t xml:space="preserve">•  </w:t>
            </w:r>
            <w:r>
              <w:rPr>
                <w:rFonts w:ascii="Calibri" w:eastAsia="Calibri" w:hAnsi="Calibri" w:cs="Calibri"/>
                <w:b/>
                <w:bCs/>
                <w:color w:val="1B3A4B"/>
                <w:sz w:val="17"/>
                <w:szCs w:val="17"/>
              </w:rPr>
              <w:t xml:space="preserve">Voice change — </w:t>
            </w:r>
            <w:r>
              <w:rPr>
                <w:rFonts w:ascii="Calibri" w:eastAsia="Calibri" w:hAnsi="Calibri" w:cs="Calibri"/>
                <w:color w:val="2B2B2B"/>
                <w:sz w:val="17"/>
                <w:szCs w:val="17"/>
              </w:rPr>
              <w:t>Occasionally, especially after adenoid surgery, the voice can sound a little different for a short time. Lasting change is rare.</w:t>
            </w:r>
          </w:p>
          <w:p w14:paraId="73CA6B79" w14:textId="77777777" w:rsidR="001353CB" w:rsidRDefault="001E1444">
            <w:pPr>
              <w:pBdr>
                <w:bottom w:val="single" w:sz="6" w:space="2" w:color="1E7D8C"/>
              </w:pBdr>
              <w:spacing w:before="140" w:after="40"/>
            </w:pPr>
            <w:r>
              <w:rPr>
                <w:rFonts w:ascii="Calibri" w:eastAsia="Calibri" w:hAnsi="Calibri" w:cs="Calibri"/>
                <w:b/>
                <w:bCs/>
                <w:color w:val="1E7D8C"/>
                <w:sz w:val="18"/>
                <w:szCs w:val="18"/>
              </w:rPr>
              <w:t>OUR APPROACH TO SAFETY</w:t>
            </w:r>
          </w:p>
          <w:p w14:paraId="6D329117" w14:textId="77777777" w:rsidR="001353CB" w:rsidRDefault="001E1444">
            <w:pPr>
              <w:spacing w:after="60" w:line="250" w:lineRule="auto"/>
            </w:pPr>
            <w:r>
              <w:rPr>
                <w:rFonts w:ascii="Calibri" w:eastAsia="Calibri" w:hAnsi="Calibri" w:cs="Calibri"/>
                <w:color w:val="2B2B2B"/>
                <w:sz w:val="17"/>
                <w:szCs w:val="17"/>
              </w:rPr>
              <w:t>I practise as a safer-surgery specialist, which means a number of extra protective steps are built into every procedure — not just the operation itself. One of these is Oroguard, a device I use as standard.</w:t>
            </w:r>
          </w:p>
          <w:p w14:paraId="775D741A" w14:textId="77777777" w:rsidR="001353CB" w:rsidRDefault="001E1444">
            <w:pPr>
              <w:spacing w:after="40" w:line="250" w:lineRule="auto"/>
              <w:ind w:left="160" w:hanging="160"/>
            </w:pPr>
            <w:r>
              <w:rPr>
                <w:rFonts w:ascii="Calibri" w:eastAsia="Calibri" w:hAnsi="Calibri" w:cs="Calibri"/>
                <w:b/>
                <w:bCs/>
                <w:color w:val="1E7D8C"/>
                <w:sz w:val="17"/>
                <w:szCs w:val="17"/>
              </w:rPr>
              <w:t xml:space="preserve">•  </w:t>
            </w:r>
            <w:r>
              <w:rPr>
                <w:rFonts w:ascii="Calibri" w:eastAsia="Calibri" w:hAnsi="Calibri" w:cs="Calibri"/>
                <w:color w:val="2B2B2B"/>
                <w:sz w:val="17"/>
                <w:szCs w:val="17"/>
              </w:rPr>
              <w:t>Oroguard is a soft, single-use guard that protects the corners of the mouth and lips for the full length of the operation, reducing the risk of trauma, damage, or burn from the surgical instruments.</w:t>
            </w:r>
          </w:p>
          <w:p w14:paraId="35610807" w14:textId="77777777" w:rsidR="001353CB" w:rsidRDefault="001E1444">
            <w:pPr>
              <w:spacing w:after="40" w:line="250" w:lineRule="auto"/>
              <w:ind w:left="160" w:hanging="160"/>
            </w:pPr>
            <w:r>
              <w:rPr>
                <w:rFonts w:ascii="Calibri" w:eastAsia="Calibri" w:hAnsi="Calibri" w:cs="Calibri"/>
                <w:b/>
                <w:bCs/>
                <w:color w:val="1E7D8C"/>
                <w:sz w:val="17"/>
                <w:szCs w:val="17"/>
              </w:rPr>
              <w:t xml:space="preserve">•  </w:t>
            </w:r>
            <w:r>
              <w:rPr>
                <w:rFonts w:ascii="Calibri" w:eastAsia="Calibri" w:hAnsi="Calibri" w:cs="Calibri"/>
                <w:color w:val="2B2B2B"/>
                <w:sz w:val="17"/>
                <w:szCs w:val="17"/>
              </w:rPr>
              <w:t>The same device continuously clears surgical smoke from the airway, keeping the operative field clear — which helps precision throughout the case.</w:t>
            </w:r>
          </w:p>
          <w:p w14:paraId="195F6533" w14:textId="77777777" w:rsidR="001353CB" w:rsidRDefault="001E1444">
            <w:pPr>
              <w:spacing w:line="250" w:lineRule="auto"/>
            </w:pPr>
            <w:r>
              <w:rPr>
                <w:rFonts w:ascii="Calibri" w:eastAsia="Calibri" w:hAnsi="Calibri" w:cs="Calibri"/>
                <w:color w:val="2B2B2B"/>
                <w:sz w:val="17"/>
                <w:szCs w:val="17"/>
              </w:rPr>
              <w:t>These are part of a broader set of precautions I use as standard, alongside careful technique and close monitoring throughout.</w:t>
            </w:r>
          </w:p>
        </w:tc>
      </w:tr>
    </w:tbl>
    <w:p w14:paraId="59AAFE52" w14:textId="77777777" w:rsidR="001353CB" w:rsidRDefault="001E1444">
      <w:pPr>
        <w:pBdr>
          <w:top w:val="single" w:sz="6" w:space="4" w:color="1E7D8C"/>
        </w:pBdr>
        <w:spacing w:before="140" w:after="20"/>
      </w:pPr>
      <w:r>
        <w:rPr>
          <w:rFonts w:ascii="Calibri" w:eastAsia="Calibri" w:hAnsi="Calibri" w:cs="Calibri"/>
          <w:i/>
          <w:iCs/>
          <w:color w:val="5A6B72"/>
          <w:sz w:val="16"/>
          <w:szCs w:val="16"/>
        </w:rPr>
        <w:t>Every child and every operation is a little different. Please don't hesitate to ask questions, before or after surgery — we're glad to help.</w:t>
      </w:r>
    </w:p>
    <w:p w14:paraId="4B2B5971" w14:textId="77777777" w:rsidR="001353CB" w:rsidRDefault="001E1444">
      <w:r>
        <w:rPr>
          <w:rFonts w:ascii="Calibri" w:eastAsia="Calibri" w:hAnsi="Calibri" w:cs="Calibri"/>
          <w:b/>
          <w:bCs/>
          <w:color w:val="1B3A4B"/>
          <w:sz w:val="16"/>
          <w:szCs w:val="16"/>
        </w:rPr>
        <w:t>[Surgeon Name]   ·   [Phone]   ·   [Email / Practice Address]</w:t>
      </w:r>
    </w:p>
    <w:sectPr w:rsidR="001353CB">
      <w:footerReference w:type="even" r:id="rId10"/>
      <w:footerReference w:type="default" r:id="rId11"/>
      <w:footerReference w:type="first" r:id="rId12"/>
      <w:pgSz w:w="11906" w:h="16838"/>
      <w:pgMar w:top="560" w:right="620" w:bottom="560" w:left="6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322A0" w14:textId="77777777" w:rsidR="00A8660D" w:rsidRDefault="00A8660D" w:rsidP="00BD3FDE">
      <w:r>
        <w:separator/>
      </w:r>
    </w:p>
  </w:endnote>
  <w:endnote w:type="continuationSeparator" w:id="0">
    <w:p w14:paraId="25ACBD76" w14:textId="77777777" w:rsidR="00A8660D" w:rsidRDefault="00A8660D" w:rsidP="00BD3F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0B47C" w14:textId="45806114" w:rsidR="00BD3FDE" w:rsidRDefault="00D02FEB">
    <w:pPr>
      <w:pStyle w:val="Footer"/>
    </w:pPr>
    <w:r>
      <w:rPr>
        <w:noProof/>
      </w:rPr>
      <mc:AlternateContent>
        <mc:Choice Requires="wps">
          <w:drawing>
            <wp:anchor distT="0" distB="0" distL="0" distR="0" simplePos="0" relativeHeight="251659264" behindDoc="0" locked="0" layoutInCell="1" allowOverlap="1" wp14:anchorId="6919126E" wp14:editId="19CB15AA">
              <wp:simplePos x="635" y="635"/>
              <wp:positionH relativeFrom="page">
                <wp:align>center</wp:align>
              </wp:positionH>
              <wp:positionV relativeFrom="page">
                <wp:align>bottom</wp:align>
              </wp:positionV>
              <wp:extent cx="1400175" cy="314325"/>
              <wp:effectExtent l="0" t="0" r="9525" b="0"/>
              <wp:wrapNone/>
              <wp:docPr id="911923608" name="Text Box 2" descr="Internal use only -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00175" cy="314325"/>
                      </a:xfrm>
                      <a:prstGeom prst="rect">
                        <a:avLst/>
                      </a:prstGeom>
                      <a:noFill/>
                      <a:ln>
                        <a:noFill/>
                      </a:ln>
                    </wps:spPr>
                    <wps:txbx>
                      <w:txbxContent>
                        <w:p w14:paraId="4983926E" w14:textId="57956831" w:rsidR="00D02FEB" w:rsidRPr="00D02FEB" w:rsidRDefault="00D02FEB" w:rsidP="00D02FEB">
                          <w:pPr>
                            <w:rPr>
                              <w:rFonts w:ascii="Aptos" w:eastAsia="Aptos" w:hAnsi="Aptos" w:cs="Aptos"/>
                              <w:noProof/>
                              <w:color w:val="000000"/>
                              <w:sz w:val="16"/>
                              <w:szCs w:val="16"/>
                            </w:rPr>
                          </w:pPr>
                          <w:r w:rsidRPr="00D02FEB">
                            <w:rPr>
                              <w:rFonts w:ascii="Aptos" w:eastAsia="Aptos" w:hAnsi="Aptos" w:cs="Aptos"/>
                              <w:noProof/>
                              <w:color w:val="000000"/>
                              <w:sz w:val="16"/>
                              <w:szCs w:val="16"/>
                            </w:rPr>
                            <w:t>Internal use only - 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919126E" id="_x0000_t202" coordsize="21600,21600" o:spt="202" path="m,l,21600r21600,l21600,xe">
              <v:stroke joinstyle="miter"/>
              <v:path gradientshapeok="t" o:connecttype="rect"/>
            </v:shapetype>
            <v:shape id="Text Box 2" o:spid="_x0000_s1026" type="#_x0000_t202" alt="Internal use only - Confidential" style="position:absolute;margin-left:0;margin-top:0;width:110.25pt;height:24.7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" filled="f" stroked="f">
              <v:fill o:detectmouseclick="t"/>
              <v:textbox style="mso-fit-shape-to-text:t" inset="0,0,0,15pt">
                <w:txbxContent>
                  <w:p w14:paraId="4983926E" w14:textId="57956831" w:rsidR="00D02FEB" w:rsidRPr="00D02FEB" w:rsidRDefault="00D02FEB" w:rsidP="00D02FEB">
                    <w:pPr>
                      <w:rPr>
                        <w:rFonts w:ascii="Aptos" w:eastAsia="Aptos" w:hAnsi="Aptos" w:cs="Aptos"/>
                        <w:noProof/>
                        <w:color w:val="000000"/>
                        <w:sz w:val="16"/>
                        <w:szCs w:val="16"/>
                      </w:rPr>
                    </w:pPr>
                    <w:r w:rsidRPr="00D02FEB">
                      <w:rPr>
                        <w:rFonts w:ascii="Aptos" w:eastAsia="Aptos" w:hAnsi="Aptos" w:cs="Aptos"/>
                        <w:noProof/>
                        <w:color w:val="000000"/>
                        <w:sz w:val="16"/>
                        <w:szCs w:val="16"/>
                      </w:rPr>
                      <w:t>Internal use only - 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5C815" w14:textId="00BB55C0" w:rsidR="00BD3FDE" w:rsidRDefault="00D02FEB">
    <w:pPr>
      <w:pStyle w:val="Footer"/>
    </w:pPr>
    <w:r>
      <w:rPr>
        <w:noProof/>
      </w:rPr>
      <mc:AlternateContent>
        <mc:Choice Requires="wps">
          <w:drawing>
            <wp:anchor distT="0" distB="0" distL="0" distR="0" simplePos="0" relativeHeight="251660288" behindDoc="0" locked="0" layoutInCell="1" allowOverlap="1" wp14:anchorId="2DD567A4" wp14:editId="78C0D340">
              <wp:simplePos x="635" y="635"/>
              <wp:positionH relativeFrom="page">
                <wp:align>center</wp:align>
              </wp:positionH>
              <wp:positionV relativeFrom="page">
                <wp:align>bottom</wp:align>
              </wp:positionV>
              <wp:extent cx="1400175" cy="314325"/>
              <wp:effectExtent l="0" t="0" r="9525" b="0"/>
              <wp:wrapNone/>
              <wp:docPr id="1144438866" name="Text Box 3" descr="Internal use only -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00175" cy="314325"/>
                      </a:xfrm>
                      <a:prstGeom prst="rect">
                        <a:avLst/>
                      </a:prstGeom>
                      <a:noFill/>
                      <a:ln>
                        <a:noFill/>
                      </a:ln>
                    </wps:spPr>
                    <wps:txbx>
                      <w:txbxContent>
                        <w:p w14:paraId="64774C57" w14:textId="4FB89F37" w:rsidR="00D02FEB" w:rsidRPr="00D02FEB" w:rsidRDefault="00D02FEB" w:rsidP="00D02FEB">
                          <w:pPr>
                            <w:rPr>
                              <w:rFonts w:ascii="Aptos" w:eastAsia="Aptos" w:hAnsi="Aptos" w:cs="Aptos"/>
                              <w:noProof/>
                              <w:color w:val="000000"/>
                              <w:sz w:val="16"/>
                              <w:szCs w:val="16"/>
                            </w:rPr>
                          </w:pPr>
                          <w:r w:rsidRPr="00D02FEB">
                            <w:rPr>
                              <w:rFonts w:ascii="Aptos" w:eastAsia="Aptos" w:hAnsi="Aptos" w:cs="Aptos"/>
                              <w:noProof/>
                              <w:color w:val="000000"/>
                              <w:sz w:val="16"/>
                              <w:szCs w:val="16"/>
                            </w:rPr>
                            <w:t>Internal use only - 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DD567A4" id="_x0000_t202" coordsize="21600,21600" o:spt="202" path="m,l,21600r21600,l21600,xe">
              <v:stroke joinstyle="miter"/>
              <v:path gradientshapeok="t" o:connecttype="rect"/>
            </v:shapetype>
            <v:shape id="Text Box 3" o:spid="_x0000_s1027" type="#_x0000_t202" alt="Internal use only - Confidential" style="position:absolute;margin-left:0;margin-top:0;width:110.25pt;height:24.7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" filled="f" stroked="f">
              <v:fill o:detectmouseclick="t"/>
              <v:textbox style="mso-fit-shape-to-text:t" inset="0,0,0,15pt">
                <w:txbxContent>
                  <w:p w14:paraId="64774C57" w14:textId="4FB89F37" w:rsidR="00D02FEB" w:rsidRPr="00D02FEB" w:rsidRDefault="00D02FEB" w:rsidP="00D02FEB">
                    <w:pPr>
                      <w:rPr>
                        <w:rFonts w:ascii="Aptos" w:eastAsia="Aptos" w:hAnsi="Aptos" w:cs="Aptos"/>
                        <w:noProof/>
                        <w:color w:val="000000"/>
                        <w:sz w:val="16"/>
                        <w:szCs w:val="16"/>
                      </w:rPr>
                    </w:pPr>
                    <w:r w:rsidRPr="00D02FEB">
                      <w:rPr>
                        <w:rFonts w:ascii="Aptos" w:eastAsia="Aptos" w:hAnsi="Aptos" w:cs="Aptos"/>
                        <w:noProof/>
                        <w:color w:val="000000"/>
                        <w:sz w:val="16"/>
                        <w:szCs w:val="16"/>
                      </w:rPr>
                      <w:t>Internal use only - Confidential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5F73B" w14:textId="0CEB18DA" w:rsidR="00BD3FDE" w:rsidRDefault="00D02FEB">
    <w:pPr>
      <w:pStyle w:val="Footer"/>
    </w:pPr>
    <w:r>
      <w:rPr>
        <w:noProof/>
      </w:rPr>
      <mc:AlternateContent>
        <mc:Choice Requires="wps">
          <w:drawing>
            <wp:anchor distT="0" distB="0" distL="0" distR="0" simplePos="0" relativeHeight="251658240" behindDoc="0" locked="0" layoutInCell="1" allowOverlap="1" wp14:anchorId="32250823" wp14:editId="4257CF89">
              <wp:simplePos x="635" y="635"/>
              <wp:positionH relativeFrom="page">
                <wp:align>center</wp:align>
              </wp:positionH>
              <wp:positionV relativeFrom="page">
                <wp:align>bottom</wp:align>
              </wp:positionV>
              <wp:extent cx="1400175" cy="314325"/>
              <wp:effectExtent l="0" t="0" r="9525" b="0"/>
              <wp:wrapNone/>
              <wp:docPr id="932877103" name="Text Box 1" descr="Internal use only -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00175" cy="314325"/>
                      </a:xfrm>
                      <a:prstGeom prst="rect">
                        <a:avLst/>
                      </a:prstGeom>
                      <a:noFill/>
                      <a:ln>
                        <a:noFill/>
                      </a:ln>
                    </wps:spPr>
                    <wps:txbx>
                      <w:txbxContent>
                        <w:p w14:paraId="4BA81722" w14:textId="0A8C45A0" w:rsidR="00D02FEB" w:rsidRPr="00D02FEB" w:rsidRDefault="00D02FEB" w:rsidP="00D02FEB">
                          <w:pPr>
                            <w:rPr>
                              <w:rFonts w:ascii="Aptos" w:eastAsia="Aptos" w:hAnsi="Aptos" w:cs="Aptos"/>
                              <w:noProof/>
                              <w:color w:val="000000"/>
                              <w:sz w:val="16"/>
                              <w:szCs w:val="16"/>
                            </w:rPr>
                          </w:pPr>
                          <w:r w:rsidRPr="00D02FEB">
                            <w:rPr>
                              <w:rFonts w:ascii="Aptos" w:eastAsia="Aptos" w:hAnsi="Aptos" w:cs="Aptos"/>
                              <w:noProof/>
                              <w:color w:val="000000"/>
                              <w:sz w:val="16"/>
                              <w:szCs w:val="16"/>
                            </w:rPr>
                            <w:t>Internal use only - 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2250823" id="_x0000_t202" coordsize="21600,21600" o:spt="202" path="m,l,21600r21600,l21600,xe">
              <v:stroke joinstyle="miter"/>
              <v:path gradientshapeok="t" o:connecttype="rect"/>
            </v:shapetype>
            <v:shape id="Text Box 1" o:spid="_x0000_s1028" type="#_x0000_t202" alt="Internal use only - Confidential" style="position:absolute;margin-left:0;margin-top:0;width:110.25pt;height:24.7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" filled="f" stroked="f">
              <v:fill o:detectmouseclick="t"/>
              <v:textbox style="mso-fit-shape-to-text:t" inset="0,0,0,15pt">
                <w:txbxContent>
                  <w:p w14:paraId="4BA81722" w14:textId="0A8C45A0" w:rsidR="00D02FEB" w:rsidRPr="00D02FEB" w:rsidRDefault="00D02FEB" w:rsidP="00D02FEB">
                    <w:pPr>
                      <w:rPr>
                        <w:rFonts w:ascii="Aptos" w:eastAsia="Aptos" w:hAnsi="Aptos" w:cs="Aptos"/>
                        <w:noProof/>
                        <w:color w:val="000000"/>
                        <w:sz w:val="16"/>
                        <w:szCs w:val="16"/>
                      </w:rPr>
                    </w:pPr>
                    <w:r w:rsidRPr="00D02FEB">
                      <w:rPr>
                        <w:rFonts w:ascii="Aptos" w:eastAsia="Aptos" w:hAnsi="Aptos" w:cs="Aptos"/>
                        <w:noProof/>
                        <w:color w:val="000000"/>
                        <w:sz w:val="16"/>
                        <w:szCs w:val="16"/>
                      </w:rPr>
                      <w:t>Internal use only - 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F57B4" w14:textId="77777777" w:rsidR="00A8660D" w:rsidRDefault="00A8660D" w:rsidP="00BD3FDE">
      <w:r>
        <w:separator/>
      </w:r>
    </w:p>
  </w:footnote>
  <w:footnote w:type="continuationSeparator" w:id="0">
    <w:p w14:paraId="7935EFF9" w14:textId="77777777" w:rsidR="00A8660D" w:rsidRDefault="00A8660D" w:rsidP="00BD3F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98681A"/>
    <w:multiLevelType w:val="hybridMultilevel"/>
    <w:tmpl w:val="FFFFFFFF"/>
    <w:lvl w:ilvl="0" w:tplc="F0FA6054">
      <w:start w:val="1"/>
      <w:numFmt w:val="bullet"/>
      <w:lvlText w:val="●"/>
      <w:lvlJc w:val="left"/>
      <w:pPr>
        <w:ind w:left="720" w:hanging="360"/>
      </w:pPr>
    </w:lvl>
    <w:lvl w:ilvl="1" w:tplc="F5BE349A">
      <w:start w:val="1"/>
      <w:numFmt w:val="bullet"/>
      <w:lvlText w:val="○"/>
      <w:lvlJc w:val="left"/>
      <w:pPr>
        <w:ind w:left="1440" w:hanging="360"/>
      </w:pPr>
    </w:lvl>
    <w:lvl w:ilvl="2" w:tplc="6CB0021E">
      <w:start w:val="1"/>
      <w:numFmt w:val="bullet"/>
      <w:lvlText w:val="■"/>
      <w:lvlJc w:val="left"/>
      <w:pPr>
        <w:ind w:left="2160" w:hanging="360"/>
      </w:pPr>
    </w:lvl>
    <w:lvl w:ilvl="3" w:tplc="956CB43C">
      <w:start w:val="1"/>
      <w:numFmt w:val="bullet"/>
      <w:lvlText w:val="●"/>
      <w:lvlJc w:val="left"/>
      <w:pPr>
        <w:ind w:left="2880" w:hanging="360"/>
      </w:pPr>
    </w:lvl>
    <w:lvl w:ilvl="4" w:tplc="DBD0530A">
      <w:start w:val="1"/>
      <w:numFmt w:val="bullet"/>
      <w:lvlText w:val="○"/>
      <w:lvlJc w:val="left"/>
      <w:pPr>
        <w:ind w:left="3600" w:hanging="360"/>
      </w:pPr>
    </w:lvl>
    <w:lvl w:ilvl="5" w:tplc="124064DE">
      <w:start w:val="1"/>
      <w:numFmt w:val="bullet"/>
      <w:lvlText w:val="■"/>
      <w:lvlJc w:val="left"/>
      <w:pPr>
        <w:ind w:left="4320" w:hanging="360"/>
      </w:pPr>
    </w:lvl>
    <w:lvl w:ilvl="6" w:tplc="2DF0DC90">
      <w:start w:val="1"/>
      <w:numFmt w:val="bullet"/>
      <w:lvlText w:val="●"/>
      <w:lvlJc w:val="left"/>
      <w:pPr>
        <w:ind w:left="5040" w:hanging="360"/>
      </w:pPr>
    </w:lvl>
    <w:lvl w:ilvl="7" w:tplc="FB14C652">
      <w:start w:val="1"/>
      <w:numFmt w:val="bullet"/>
      <w:lvlText w:val="●"/>
      <w:lvlJc w:val="left"/>
      <w:pPr>
        <w:ind w:left="5760" w:hanging="360"/>
      </w:pPr>
    </w:lvl>
    <w:lvl w:ilvl="8" w:tplc="C518B5E6">
      <w:start w:val="1"/>
      <w:numFmt w:val="bullet"/>
      <w:lvlText w:val="●"/>
      <w:lvlJc w:val="left"/>
      <w:pPr>
        <w:ind w:left="6480" w:hanging="360"/>
      </w:pPr>
    </w:lvl>
  </w:abstractNum>
  <w:num w:numId="1" w16cid:durableId="203118088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53CB"/>
    <w:rsid w:val="001353CB"/>
    <w:rsid w:val="001E1444"/>
    <w:rsid w:val="00402790"/>
    <w:rsid w:val="008472F7"/>
    <w:rsid w:val="00A8660D"/>
    <w:rsid w:val="00BD3FDE"/>
    <w:rsid w:val="00D02FEB"/>
    <w:rsid w:val="00D9274A"/>
    <w:rsid w:val="00EB212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F30FDCA"/>
  <w15:docId w15:val="{DB527861-4A3A-433E-B8C3-2FB4ECE15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Footer">
    <w:name w:val="footer"/>
    <w:basedOn w:val="Normal"/>
    <w:link w:val="FooterChar"/>
    <w:uiPriority w:val="99"/>
    <w:unhideWhenUsed/>
    <w:rsid w:val="00BD3FDE"/>
    <w:pPr>
      <w:tabs>
        <w:tab w:val="center" w:pos="4680"/>
        <w:tab w:val="right" w:pos="9360"/>
      </w:tabs>
    </w:pPr>
  </w:style>
  <w:style w:type="character" w:customStyle="1" w:styleId="FooterChar">
    <w:name w:val="Footer Char"/>
    <w:basedOn w:val="DefaultParagraphFont"/>
    <w:link w:val="Footer"/>
    <w:uiPriority w:val="99"/>
    <w:rsid w:val="00BD3F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99b29002-67e1-49cf-badd-c4e76a77d407" xsi:nil="true"/>
    <lcf76f155ced4ddcb4097134ff3c332f xmlns="b769c2d3-6f07-47ab-a6c1-ee8d7f0695eb">
      <Terms xmlns="http://schemas.microsoft.com/office/infopath/2007/PartnerControls"/>
    </lcf76f155ced4ddcb4097134ff3c332f>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70917A0A39DD643B5377D4E77E2555C" ma:contentTypeVersion="18" ma:contentTypeDescription="Create a new document." ma:contentTypeScope="" ma:versionID="eac37d056d13d626f1ff60b03cceae49">
  <xsd:schema xmlns:xsd="http://www.w3.org/2001/XMLSchema" xmlns:xs="http://www.w3.org/2001/XMLSchema" xmlns:p="http://schemas.microsoft.com/office/2006/metadata/properties" xmlns:ns1="http://schemas.microsoft.com/sharepoint/v3" xmlns:ns2="b769c2d3-6f07-47ab-a6c1-ee8d7f0695eb" xmlns:ns3="99b29002-67e1-49cf-badd-c4e76a77d407" targetNamespace="http://schemas.microsoft.com/office/2006/metadata/properties" ma:root="true" ma:fieldsID="23dcc3c70b2ed0cb7a956806a15ad631" ns1:_="" ns2:_="" ns3:_="">
    <xsd:import namespace="http://schemas.microsoft.com/sharepoint/v3"/>
    <xsd:import namespace="b769c2d3-6f07-47ab-a6c1-ee8d7f0695eb"/>
    <xsd:import namespace="99b29002-67e1-49cf-badd-c4e76a77d40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1:_ip_UnifiedCompliancePolicyProperties" minOccurs="0"/>
                <xsd:element ref="ns1:_ip_UnifiedCompliancePolicyUIAc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69c2d3-6f07-47ab-a6c1-ee8d7f0695eb"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e707beae-309a-44d7-a5e4-c77fc0719191"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b29002-67e1-49cf-badd-c4e76a77d40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37ffbc5-7847-422e-9a8a-2a91e3bfb28d}" ma:internalName="TaxCatchAll" ma:showField="CatchAllData" ma:web="99b29002-67e1-49cf-badd-c4e76a77d40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DA9C12-F12C-4B49-95E9-BC1BE0C803F1}">
  <ds:schemaRefs>
    <ds:schemaRef ds:uri="http://schemas.microsoft.com/office/2006/metadata/properties"/>
    <ds:schemaRef ds:uri="http://schemas.microsoft.com/office/infopath/2007/PartnerControls"/>
    <ds:schemaRef ds:uri="http://schemas.microsoft.com/sharepoint/v3"/>
    <ds:schemaRef ds:uri="99b29002-67e1-49cf-badd-c4e76a77d407"/>
    <ds:schemaRef ds:uri="b769c2d3-6f07-47ab-a6c1-ee8d7f0695eb"/>
  </ds:schemaRefs>
</ds:datastoreItem>
</file>

<file path=customXml/itemProps2.xml><?xml version="1.0" encoding="utf-8"?>
<ds:datastoreItem xmlns:ds="http://schemas.openxmlformats.org/officeDocument/2006/customXml" ds:itemID="{B6FD60EE-5264-4590-96EA-8F4A35036B53}">
  <ds:schemaRefs>
    <ds:schemaRef ds:uri="http://schemas.microsoft.com/sharepoint/v3/contenttype/forms"/>
  </ds:schemaRefs>
</ds:datastoreItem>
</file>

<file path=customXml/itemProps3.xml><?xml version="1.0" encoding="utf-8"?>
<ds:datastoreItem xmlns:ds="http://schemas.openxmlformats.org/officeDocument/2006/customXml" ds:itemID="{2CE8F1E2-E5C8-495A-92AE-D363723513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769c2d3-6f07-47ab-a6c1-ee8d7f0695eb"/>
    <ds:schemaRef ds:uri="99b29002-67e1-49cf-badd-c4e76a77d4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4e1a260-679a-4677-86d7-fac5c1e517a1}" enabled="1" method="Standard" siteId="{d3008fd4-0d20-418b-bf30-4e70d910c727}"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684</Words>
  <Characters>3899</Characters>
  <Application>Microsoft Office Word</Application>
  <DocSecurity>0</DocSecurity>
  <Lines>32</Lines>
  <Paragraphs>9</Paragraphs>
  <ScaleCrop>false</ScaleCrop>
  <Company/>
  <LinksUpToDate>false</LinksUpToDate>
  <CharactersWithSpaces>4574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Jacelyn Niones</cp:lastModifiedBy>
  <cp:revision>3</cp:revision>
  <dcterms:created xsi:type="dcterms:W3CDTF">2026-08-24T00:50:00Z</dcterms:created>
  <dcterms:modified xsi:type="dcterms:W3CDTF">2026-08-24T00:50:00Z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0x010100A70917A0A39DD643B5377D4E77E2555C</vt:lpwstr>
  </property>
  <property fmtid="{D5CDD505-2E9C-101B-9397-08002B2CF9AE}" pid="3" name="MediaServiceImageTags">
    <vt:lpwstr/>
  </property>
  <property fmtid="{D5CDD505-2E9C-101B-9397-08002B2CF9AE}" pid="4" name="ClassificationContentMarkingFooterShapeIds">
    <vt:lpwstr>379a932f,365ad998,4436c052</vt:lpwstr>
  </property>
  <property fmtid="{D5CDD505-2E9C-101B-9397-08002B2CF9AE}" pid="5" name="ClassificationContentMarkingFooterFontProps">
    <vt:lpwstr>#000000,8,Aptos</vt:lpwstr>
  </property>
  <property fmtid="{D5CDD505-2E9C-101B-9397-08002B2CF9AE}" pid="6" name="ClassificationContentMarkingFooterText">
    <vt:lpwstr>Internal use only - Confidential</vt:lpwstr>
  </property>
</Properties>
</file>